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zvem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ru-RU"/>
        </w:rPr>
        <w:t>7 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Honzy 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dka</w:t>
      </w:r>
      <w:r>
        <w:rPr>
          <w:b w:val="1"/>
          <w:bCs w:val="1"/>
          <w:rtl w:val="0"/>
          <w:lang w:val="de-DE"/>
        </w:rPr>
        <w:t xml:space="preserve">“ 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ální1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adatelem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zvem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Honzy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dka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je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 FTV Prima, spol.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o. se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dlem Praha 10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nice, Vinohradsk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3217/167, PS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110 00,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O: 48115908, zapsan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 rejst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veden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soudem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Praze, odd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 C, vlo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16778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ální1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 1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kole od 24.8.2020 do 31.8.2020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Doba 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ální1"/>
        <w:numPr>
          <w:ilvl w:val="0"/>
          <w:numId w:val="3"/>
        </w:numPr>
        <w:bidi w:val="0"/>
        <w:ind w:right="0"/>
        <w:jc w:val="both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vyd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tento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d.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fyzick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ila 18 let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se osoba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ální1"/>
        <w:numPr>
          <w:ilvl w:val="0"/>
          <w:numId w:val="8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se nemohou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osoby,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jsou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obdobn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vztahu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 a/nebo ke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Zpracovateli, a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osoby spolupracuj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nep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 na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adu, ani osoby ve vztahu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 smyslu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89/2012 Sb., 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ansk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ve 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ální1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Rozsah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je omezen na jednu zaslanou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1"/>
        <w:numPr>
          <w:ilvl w:val="0"/>
          <w:numId w:val="7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 povinen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se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 poctiv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nesm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vat, resp. nechat pro sebe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 automatizovan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(strojov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syst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zaji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(nap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 automatizovan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zky,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facebookov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profil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vytvo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hlasov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apod., sd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odkaz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vky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relevantn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odkaz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skupin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skupin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kde na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kony profesion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vat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nechat pro sebe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 software vhodn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nepoctiv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obdobn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sobem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skat hlasy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padech, kdy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ch).</w:t>
      </w:r>
      <w:r>
        <w:rPr>
          <w:sz w:val="22"/>
          <w:szCs w:val="22"/>
          <w:rtl w:val="0"/>
        </w:rPr>
        <w:t xml:space="preserve"> </w:t>
      </w:r>
    </w:p>
    <w:p>
      <w:pPr>
        <w:pStyle w:val="Normální1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si vyhrazuje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vylou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 ze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ho, u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zjist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nebo bude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podez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nespl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stanoven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dem, a/nebo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obch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pravidla stanoven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dem,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ijmout 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vhodn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padech zji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obch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tohoto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dobr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mrav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vylou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proveden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za pomoci automatizovan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syst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Normální1"/>
        <w:numPr>
          <w:ilvl w:val="0"/>
          <w:numId w:val="7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nky tohoto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nku, nem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stane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hercem,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 na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evzet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hry, resp. na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je povinen 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edanou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tit, resp.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 strany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herci 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bez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titulu a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bezd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 obohacen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na 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herce se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sledky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toho vypl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hercem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osoba 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postupem 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herce.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III.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 –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se div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 na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v 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e.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 lze zas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lat 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webov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ář“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). Odesl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je mezi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m, 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adatelem uzav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ena smlouva, na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 a to za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 stanoven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 tomto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Smlouva 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prohla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uje,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odesl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vypln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poskytl jen 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jsou aktu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pravdiv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nedopustil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na ochranu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uvedl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daje,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jin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osoby,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e-mailu. </w:t>
      </w:r>
    </w:p>
    <w:p>
      <w:pPr>
        <w:pStyle w:val="Normální1"/>
        <w:numPr>
          <w:ilvl w:val="0"/>
          <w:numId w:val="9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lze zaslat 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na webov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nce www.iprima.cz.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pouze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ivatel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 sv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ivatelsk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na 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iprima.cz,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vytvo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ivatelsk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je zdarma. Po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krtnut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 na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ze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vypln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kontaktn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telefonu se div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tka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ODESLAT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Aby bylo odesl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platn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hlasovat v 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e. Odes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zaplacen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poplatku.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zasl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pouze jednou.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uk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odeslal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ářů č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 k jejich odesl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neplatn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daje, pop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identifikaci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koho jin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takov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vylou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zapo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pouze dovolen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hlas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bere na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daje, a to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v souladu s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edpisy na ochranu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ech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jejich emailovou adresu a telefonn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slo.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pak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mimo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narozen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adresu trval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echodn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pobytu,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e. 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vyhodnot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echny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zaslan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(p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kola).  5. 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bude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echny 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obsahuj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vnou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Doby 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shroma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 v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ve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byly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eny.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z takto sestaven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zky celkem 100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herc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bude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 jako 50. 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bude vyhodnocen jako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herce (50.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100.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150.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.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herce vyhr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edpremi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 37. epizody seri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 Slune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hodnot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ce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stejn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ik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podle telefonn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bylo zad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jako kontaktn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 matematicky od nuly (tzn. nap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.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odeslan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slem 602 123 456 bude pova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za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 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odeslan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slem 602 123 457 apod.),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bude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kole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 dohromady 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posledn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sto., bude se v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 znovu (i opakovan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od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tku seznamu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 dlouho, dokud se nedojde ke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 to,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nikdo nebude moci ovlivnit sestaven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seznamu s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bude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 skute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nosti.  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 na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odstavc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zasl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osobou,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nky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 v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dle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II. tohoto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du, stane se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hercem ten, jeho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 hned po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 jako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Stejn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postup se opakuje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takto stanoven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herce op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nebude spl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e. 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odes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Registra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se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dotazuje, zda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jem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 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lit souhlas se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 marketingov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(a to za 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nek a v rozsahu uveden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 dan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souhlasu) a s vyu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kontaktn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 zas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obchodn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upozorn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dal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 na nov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ady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a dal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upozorn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souvisej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adatele). </w:t>
      </w:r>
    </w:p>
    <w:p>
      <w:pPr>
        <w:pStyle w:val="Normální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tohoto souhlasu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po dobu uvedenou v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souhlasu se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jeho odvol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en-US"/>
        </w:rPr>
        <w:t>hry</w:t>
      </w:r>
    </w:p>
    <w:p>
      <w:pPr>
        <w:pStyle w:val="Normální1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herce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podle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en-US"/>
        </w:rPr>
        <w:t>od Po</w:t>
      </w:r>
      <w:r>
        <w:rPr>
          <w:rtl w:val="0"/>
        </w:rPr>
        <w:t>ř</w:t>
      </w:r>
      <w:r>
        <w:rPr>
          <w:rtl w:val="0"/>
        </w:rPr>
        <w:t>adatele po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</w:rPr>
        <w:t>ch informac</w:t>
      </w:r>
      <w:r>
        <w:rPr>
          <w:rtl w:val="0"/>
        </w:rPr>
        <w:t xml:space="preserve">í </w:t>
      </w:r>
      <w:r>
        <w:rPr>
          <w:rtl w:val="0"/>
        </w:rPr>
        <w:t>2 vstupenky na nat</w:t>
      </w:r>
      <w:r>
        <w:rPr>
          <w:rtl w:val="0"/>
        </w:rPr>
        <w:t>áč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adu 7 p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ů </w:t>
      </w:r>
      <w:r>
        <w:rPr>
          <w:rtl w:val="0"/>
        </w:rPr>
        <w:t>Honzy D</w:t>
      </w:r>
      <w:r>
        <w:rPr>
          <w:rtl w:val="0"/>
        </w:rPr>
        <w:t>ě</w:t>
      </w:r>
      <w:r>
        <w:rPr>
          <w:rtl w:val="0"/>
        </w:rPr>
        <w:t xml:space="preserve">dka. </w:t>
      </w:r>
    </w:p>
    <w:p>
      <w:pPr>
        <w:pStyle w:val="Normální1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adatel kontaktuje V</w:t>
      </w:r>
      <w:r>
        <w:rPr>
          <w:rtl w:val="0"/>
        </w:rPr>
        <w:t>ý</w:t>
      </w:r>
      <w:r>
        <w:rPr>
          <w:rtl w:val="0"/>
        </w:rPr>
        <w:t>herce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e-mailu. Pokud se V</w:t>
      </w:r>
      <w:r>
        <w:rPr>
          <w:rtl w:val="0"/>
        </w:rPr>
        <w:t>ý</w:t>
      </w:r>
      <w:r>
        <w:rPr>
          <w:rtl w:val="0"/>
          <w:lang w:val="fr-FR"/>
        </w:rPr>
        <w:t>herce Po</w:t>
      </w:r>
      <w:r>
        <w:rPr>
          <w:rtl w:val="0"/>
        </w:rPr>
        <w:t>ř</w:t>
      </w:r>
      <w:r>
        <w:rPr>
          <w:rtl w:val="0"/>
        </w:rPr>
        <w:t>adateli neozve zp</w:t>
      </w:r>
      <w:r>
        <w:rPr>
          <w:rtl w:val="0"/>
        </w:rPr>
        <w:t>ě</w:t>
      </w:r>
      <w:r>
        <w:rPr>
          <w:rtl w:val="0"/>
        </w:rPr>
        <w:t>t (e-mailem) nejpozd</w:t>
      </w:r>
      <w:r>
        <w:rPr>
          <w:rtl w:val="0"/>
        </w:rPr>
        <w:t>ě</w:t>
      </w:r>
      <w:r>
        <w:rPr>
          <w:rtl w:val="0"/>
        </w:rPr>
        <w:t>ji do 2 dn</w:t>
      </w:r>
      <w:r>
        <w:rPr>
          <w:rtl w:val="0"/>
        </w:rPr>
        <w:t>ů</w:t>
      </w:r>
      <w:r>
        <w:rPr>
          <w:rtl w:val="0"/>
          <w:lang w:val="de-DE"/>
        </w:rPr>
        <w:t>,  V</w:t>
      </w:r>
      <w:r>
        <w:rPr>
          <w:rtl w:val="0"/>
        </w:rPr>
        <w:t>ý</w:t>
      </w:r>
      <w:r>
        <w:rPr>
          <w:rtl w:val="0"/>
        </w:rPr>
        <w:t>hra propad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Normální1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  <w:lang w:val="en-US"/>
        </w:rPr>
        <w:t>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ani V</w:t>
      </w:r>
      <w:r>
        <w:rPr>
          <w:rtl w:val="0"/>
        </w:rPr>
        <w:t>ý</w:t>
      </w:r>
      <w:r>
        <w:rPr>
          <w:rtl w:val="0"/>
        </w:rPr>
        <w:t>herce nemaj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po</w:t>
      </w:r>
      <w:r>
        <w:rPr>
          <w:rtl w:val="0"/>
        </w:rPr>
        <w:t>ž</w:t>
      </w:r>
      <w:r>
        <w:rPr>
          <w:rtl w:val="0"/>
        </w:rPr>
        <w:t>adovat jakoukoli n</w:t>
      </w:r>
      <w:r>
        <w:rPr>
          <w:rtl w:val="0"/>
        </w:rPr>
        <w:t>á</w:t>
      </w:r>
      <w:r>
        <w:rPr>
          <w:rtl w:val="0"/>
        </w:rPr>
        <w:t>hradu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vynalo</w:t>
      </w:r>
      <w:r>
        <w:rPr>
          <w:rtl w:val="0"/>
        </w:rPr>
        <w:t>ž</w:t>
      </w:r>
      <w:r>
        <w:rPr>
          <w:rtl w:val="0"/>
        </w:rPr>
        <w:t>ili v</w:t>
      </w:r>
      <w:r>
        <w:rPr>
          <w:rtl w:val="0"/>
        </w:rPr>
        <w:t> </w:t>
      </w:r>
      <w:r>
        <w:rPr>
          <w:rtl w:val="0"/>
        </w:rPr>
        <w:t xml:space="preserve">souvislosti se svou 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  <w:lang w:val="en-US"/>
        </w:rPr>
        <w:t>Sout</w:t>
      </w:r>
      <w:r>
        <w:rPr>
          <w:rtl w:val="0"/>
        </w:rPr>
        <w:t>ěž</w:t>
      </w:r>
      <w:r>
        <w:rPr>
          <w:rtl w:val="0"/>
          <w:lang w:val="it-IT"/>
        </w:rPr>
        <w:t xml:space="preserve">i. </w:t>
      </w:r>
    </w:p>
    <w:p>
      <w:pPr>
        <w:pStyle w:val="Normální1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rtl w:val="0"/>
        </w:rPr>
        <w:t>Pro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pochybnost</w:t>
      </w:r>
      <w:r>
        <w:rPr>
          <w:rtl w:val="0"/>
        </w:rPr>
        <w:t xml:space="preserve">í </w:t>
      </w:r>
      <w:r>
        <w:rPr>
          <w:rtl w:val="0"/>
        </w:rPr>
        <w:t>se 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Sout</w:t>
      </w:r>
      <w:r>
        <w:rPr>
          <w:rtl w:val="0"/>
        </w:rPr>
        <w:t>ěž</w:t>
      </w:r>
      <w:r>
        <w:rPr>
          <w:rtl w:val="0"/>
        </w:rPr>
        <w:t xml:space="preserve">e nedojdou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 xml:space="preserve">é </w:t>
      </w:r>
      <w:r>
        <w:rPr>
          <w:rtl w:val="0"/>
        </w:rPr>
        <w:t>emailov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formul</w:t>
      </w:r>
      <w:r>
        <w:rPr>
          <w:rtl w:val="0"/>
        </w:rPr>
        <w:t>ář</w:t>
      </w:r>
      <w:r>
        <w:rPr>
          <w:rtl w:val="0"/>
        </w:rPr>
        <w:t>e, nen</w:t>
      </w:r>
      <w:r>
        <w:rPr>
          <w:rtl w:val="0"/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povinen poskytovat nikomu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hru.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Spole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Normální1"/>
        <w:numPr>
          <w:ilvl w:val="0"/>
          <w:numId w:val="13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technick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probl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ena.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 na tuto okolnost vhodn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sobem upozorn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herce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kola prov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mezi emailov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edt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Normální1"/>
        <w:numPr>
          <w:ilvl w:val="0"/>
          <w:numId w:val="13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Protesty proti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rozhodnut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herci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jin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protesty mohou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 pouze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to do 1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 od okam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iku vyhl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herce. Protesty se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Zpracovateli nebo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 podle toho,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nich za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nou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itost podle tohoto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Protest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obsahovat popis skute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napad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na, a stru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popsan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skute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 ozna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vadnou.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protestu,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popsan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nky, nebude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dnuto. Protesty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ezkoum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komise,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slo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adatele, pracovn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ka controllingu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a dal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pracovn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Zpracovatele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pracovn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neur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-li Zpracovatel, resp.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 jinak. Do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rozhodnut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komise plat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jsou rozhodnut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opat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1"/>
        <w:numPr>
          <w:ilvl w:val="0"/>
          <w:numId w:val="13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protestu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rozhodnuto nejpozd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 do jednoho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od jeho doru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Pokud komise dojde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zoru,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byl poru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neprosp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ho, komise rozhodne 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nem Zpracovatele, resp.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adatele o zp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sobu zjedn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souladu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dem. Pro vylou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pochybnost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uv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zjedn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hne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stku odpov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jednotliv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hry po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zdan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jednom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kole,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hry je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tohoto odstavce tohoto hern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cenami poskytovatele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hry.</w:t>
      </w:r>
    </w:p>
    <w:p>
      <w:pPr>
        <w:pStyle w:val="Normální1"/>
        <w:numPr>
          <w:ilvl w:val="0"/>
          <w:numId w:val="13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Rozhodnut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komise je kone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VI.</w:t>
      </w: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Ochrana osobn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</w:p>
    <w:p>
      <w:pPr>
        <w:pStyle w:val="Normální1"/>
        <w:numPr>
          <w:ilvl w:val="0"/>
          <w:numId w:val="15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poskytuje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adateli, Zpracovateli a (d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jen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souhlas se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ely organizace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podle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to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rozsahu,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nezbytn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organizaci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 a to po dobu 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a 6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jej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skon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1"/>
        <w:numPr>
          <w:ilvl w:val="0"/>
          <w:numId w:val="1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-li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informaci o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jsou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povinni tuto informaci bez zbyte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odkladu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edat.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za poskytnut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informace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adovat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enou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hradu nep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evy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klady nezbytn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poskytnut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informace.</w:t>
      </w:r>
    </w:p>
    <w:p>
      <w:pPr>
        <w:pStyle w:val="Normální1"/>
        <w:numPr>
          <w:ilvl w:val="0"/>
          <w:numId w:val="15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zjist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nebo se domn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rozporu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ochranou soukrom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nebo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ivota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nebo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rozporu se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konem, 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jsou-li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nep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ohledem na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 jejich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(i)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vce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vysv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 (ii)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adovat, aby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odstranili takto vznikl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stav. 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se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jednat o blokov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proveden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opravy, dopln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nebo likvidaci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Je-li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shled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opr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nou,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neprodlen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stav. Nevyhov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-li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 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dosti 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obr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tit se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mo na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 pro ochranu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1"/>
        <w:numPr>
          <w:ilvl w:val="0"/>
          <w:numId w:val="15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budou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rozsahu,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1"/>
        <w:numPr>
          <w:ilvl w:val="0"/>
          <w:numId w:val="15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Poskytnut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 strany Sout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ěží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je podm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nkou 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v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</w:t>
      </w: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VII.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 Hern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du</w:t>
      </w:r>
    </w:p>
    <w:p>
      <w:pPr>
        <w:pStyle w:val="Základní text 31"/>
        <w:numPr>
          <w:ilvl w:val="0"/>
          <w:numId w:val="17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adatel si vyhrazuje pr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vo na zm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 Hern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du, a to v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dy s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úč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innost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ke dni ozn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 na webov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str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adatele, pokud 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adatel neur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čí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pozd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datum. </w:t>
      </w: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Číslo stránky1"/>
        </w:rPr>
      </w:pPr>
      <w:r>
        <w:rPr>
          <w:rStyle w:val="Číslo stránky1"/>
          <w:rtl w:val="0"/>
        </w:rPr>
        <w:t xml:space="preserve"> </w:t>
      </w:r>
    </w:p>
    <w:p>
      <w:pPr>
        <w:pStyle w:val="Základní text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VIII.</w:t>
      </w:r>
    </w:p>
    <w:p>
      <w:pPr>
        <w:pStyle w:val="Nadpis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ustanoven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Základní text 31"/>
        <w:numPr>
          <w:ilvl w:val="0"/>
          <w:numId w:val="19"/>
        </w:numPr>
        <w:bidi w:val="0"/>
        <w:ind w:right="0"/>
        <w:jc w:val="both"/>
        <w:rPr>
          <w:sz w:val="20"/>
          <w:szCs w:val="20"/>
          <w:rtl w:val="0"/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nky Sout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 se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vem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republiky.</w:t>
      </w:r>
    </w:p>
    <w:p>
      <w:pPr>
        <w:pStyle w:val="Základní text 31"/>
        <w:numPr>
          <w:ilvl w:val="0"/>
          <w:numId w:val="19"/>
        </w:numPr>
        <w:bidi w:val="0"/>
        <w:ind w:right="0"/>
        <w:jc w:val="both"/>
        <w:rPr>
          <w:sz w:val="20"/>
          <w:szCs w:val="20"/>
          <w:rtl w:val="0"/>
          <w:lang w:val="pt-P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Tento Hern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 nab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 úč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innosti dnem jeho podpisu.</w:t>
      </w:r>
    </w:p>
    <w:p>
      <w:pPr>
        <w:pStyle w:val="Základní text 31"/>
        <w:numPr>
          <w:ilvl w:val="0"/>
          <w:numId w:val="19"/>
        </w:numPr>
        <w:bidi w:val="0"/>
        <w:ind w:right="0"/>
        <w:jc w:val="both"/>
        <w:rPr>
          <w:sz w:val="20"/>
          <w:szCs w:val="20"/>
          <w:rtl w:val="0"/>
          <w:lang w:val="pt-P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Tento Hern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řá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 je zve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na internetov</w:t>
      </w:r>
      <w:r>
        <w:rPr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nce Po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adatele (www.iprima.cz) </w:t>
      </w: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Praze dne 24.8.2020</w:t>
      </w: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FTV Prima, spol. s</w:t>
      </w:r>
      <w:r>
        <w:rPr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r.o.</w:t>
      </w: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3"/>
        <w:gridCol w:w="4533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4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4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993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3780154</wp:posOffset>
              </wp:positionH>
              <wp:positionV relativeFrom="page">
                <wp:posOffset>10014585</wp:posOffset>
              </wp:positionV>
              <wp:extent cx="101600" cy="1397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ápatí1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97.6pt;margin-top:788.5pt;width:8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Zápatí1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3780154</wp:posOffset>
              </wp:positionH>
              <wp:positionV relativeFrom="page">
                <wp:posOffset>10014585</wp:posOffset>
              </wp:positionV>
              <wp:extent cx="101600" cy="139700"/>
              <wp:effectExtent l="0" t="0" r="0" b="0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ápatí1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297.6pt;margin-top:788.5pt;width:8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Zápatí1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7"/>
  </w:abstractNum>
  <w:abstractNum w:abstractNumId="13">
    <w:multiLevelType w:val="hybridMultilevel"/>
    <w:styleLink w:val="Importovaný styl 7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8"/>
  </w:abstractNum>
  <w:abstractNum w:abstractNumId="15">
    <w:multiLevelType w:val="hybridMultilevel"/>
    <w:styleLink w:val="Importovaný styl 8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2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patí1">
    <w:name w:val="Zápatí1"/>
    <w:next w:val="Zápatí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1">
    <w:name w:val="Název1"/>
    <w:next w:val="Název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adpis 11">
    <w:name w:val="Nadpis 11"/>
    <w:next w:val="Normální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4"/>
      </w:numPr>
    </w:pPr>
  </w:style>
  <w:style w:type="numbering" w:styleId="Importovaný styl 3">
    <w:name w:val="Importovaný styl 3"/>
    <w:pPr>
      <w:numPr>
        <w:numId w:val="6"/>
      </w:numPr>
    </w:pPr>
  </w:style>
  <w:style w:type="numbering" w:styleId="Importovaný styl 4">
    <w:name w:val="Importovaný styl 4"/>
    <w:pPr>
      <w:numPr>
        <w:numId w:val="10"/>
      </w:numPr>
    </w:pPr>
  </w:style>
  <w:style w:type="numbering" w:styleId="Importovaný styl 5">
    <w:name w:val="Importovaný styl 5"/>
    <w:pPr>
      <w:numPr>
        <w:numId w:val="12"/>
      </w:numPr>
    </w:pPr>
  </w:style>
  <w:style w:type="paragraph" w:styleId="Základní text 31">
    <w:name w:val="Základní text 31"/>
    <w:next w:val="Základní text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6">
    <w:name w:val="Importovaný styl 6"/>
    <w:pPr>
      <w:numPr>
        <w:numId w:val="14"/>
      </w:numPr>
    </w:pPr>
  </w:style>
  <w:style w:type="numbering" w:styleId="Importovaný styl 7">
    <w:name w:val="Importovaný styl 7"/>
    <w:pPr>
      <w:numPr>
        <w:numId w:val="16"/>
      </w:numPr>
    </w:pPr>
  </w:style>
  <w:style w:type="character" w:styleId="Číslo stránky1">
    <w:name w:val="Číslo stránky1"/>
    <w:rPr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numbering" w:styleId="Importovaný styl 8">
    <w:name w:val="Importovaný styl 8"/>
    <w:pPr>
      <w:numPr>
        <w:numId w:val="18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